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AA61F" w14:textId="75ABCEE1" w:rsidR="00AE07D5" w:rsidRDefault="00AE07D5" w:rsidP="00F3776F">
      <w:pPr>
        <w:rPr>
          <w:b/>
          <w:bCs/>
        </w:rPr>
      </w:pPr>
      <w:r>
        <w:rPr>
          <w:b/>
          <w:bCs/>
        </w:rPr>
        <w:t>Spring 2024</w:t>
      </w:r>
    </w:p>
    <w:p w14:paraId="036A6510" w14:textId="701C11B1" w:rsidR="00F3776F" w:rsidRPr="00F3776F" w:rsidRDefault="00A17D2D" w:rsidP="00F3776F">
      <w:pPr>
        <w:rPr>
          <w:b/>
          <w:bCs/>
        </w:rPr>
      </w:pPr>
      <w:r>
        <w:rPr>
          <w:b/>
          <w:bCs/>
        </w:rPr>
        <w:t>Student Technology Fee Funding Opportunity</w:t>
      </w:r>
      <w:r w:rsidR="00F3776F" w:rsidRPr="00F3776F">
        <w:rPr>
          <w:b/>
          <w:bCs/>
        </w:rPr>
        <w:t xml:space="preserve">: Opportunity for </w:t>
      </w:r>
      <w:r w:rsidR="0082053B">
        <w:rPr>
          <w:b/>
          <w:bCs/>
        </w:rPr>
        <w:t xml:space="preserve">Students, </w:t>
      </w:r>
      <w:r w:rsidR="00F3776F" w:rsidRPr="00F3776F">
        <w:rPr>
          <w:b/>
          <w:bCs/>
        </w:rPr>
        <w:t>Faculty</w:t>
      </w:r>
      <w:r w:rsidR="0082053B">
        <w:rPr>
          <w:b/>
          <w:bCs/>
        </w:rPr>
        <w:t>,</w:t>
      </w:r>
      <w:r w:rsidR="008D7E3C">
        <w:rPr>
          <w:b/>
          <w:bCs/>
        </w:rPr>
        <w:t xml:space="preserve"> and Departments</w:t>
      </w:r>
    </w:p>
    <w:p w14:paraId="25E4119F" w14:textId="2DD58C77" w:rsidR="004716DA" w:rsidRDefault="008D7E3C" w:rsidP="00F3776F">
      <w:r>
        <w:rPr>
          <w:b/>
          <w:bCs/>
        </w:rPr>
        <w:t>Purpose</w:t>
      </w:r>
      <w:r w:rsidR="00F3776F" w:rsidRPr="00F3776F">
        <w:rPr>
          <w:b/>
          <w:bCs/>
        </w:rPr>
        <w:t>:</w:t>
      </w:r>
      <w:r w:rsidR="00F3776F">
        <w:t xml:space="preserve"> </w:t>
      </w:r>
      <w:r w:rsidR="004716DA">
        <w:t>This</w:t>
      </w:r>
      <w:r w:rsidR="00A17D2D">
        <w:t xml:space="preserve"> is the formal disbursement of technology fee funds</w:t>
      </w:r>
      <w:r w:rsidR="004716DA">
        <w:t>.  Technology fee funds must enhance instructional technology resources for students and faculty.  This is no</w:t>
      </w:r>
      <w:r w:rsidR="0082053B">
        <w:t>t</w:t>
      </w:r>
      <w:r w:rsidR="004716DA">
        <w:t xml:space="preserve"> a fund that is appropriate for direct support of research expenses.  Four categories of expenditures are available as described in the following table.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716DA" w14:paraId="769D8D10" w14:textId="77777777" w:rsidTr="004716DA">
        <w:tc>
          <w:tcPr>
            <w:tcW w:w="2337" w:type="dxa"/>
          </w:tcPr>
          <w:p w14:paraId="5D8DB1E3" w14:textId="6D9E7241" w:rsidR="004716DA" w:rsidRDefault="004716DA" w:rsidP="00F3776F">
            <w:r>
              <w:t>Category</w:t>
            </w:r>
          </w:p>
        </w:tc>
        <w:tc>
          <w:tcPr>
            <w:tcW w:w="2337" w:type="dxa"/>
          </w:tcPr>
          <w:p w14:paraId="1FEE3486" w14:textId="255DAC09" w:rsidR="004716DA" w:rsidRDefault="004716DA" w:rsidP="00F3776F">
            <w:r>
              <w:t>Description</w:t>
            </w:r>
          </w:p>
        </w:tc>
        <w:tc>
          <w:tcPr>
            <w:tcW w:w="2338" w:type="dxa"/>
          </w:tcPr>
          <w:p w14:paraId="1061B11B" w14:textId="68741BB4" w:rsidR="004716DA" w:rsidRDefault="004716DA" w:rsidP="00F3776F">
            <w:r>
              <w:t>Funding limit</w:t>
            </w:r>
          </w:p>
        </w:tc>
        <w:tc>
          <w:tcPr>
            <w:tcW w:w="2338" w:type="dxa"/>
          </w:tcPr>
          <w:p w14:paraId="0ED403AC" w14:textId="0FD7EABD" w:rsidR="004716DA" w:rsidRDefault="004716DA" w:rsidP="00F3776F">
            <w:r>
              <w:t>comments</w:t>
            </w:r>
          </w:p>
        </w:tc>
      </w:tr>
      <w:tr w:rsidR="004716DA" w14:paraId="32B6DA05" w14:textId="77777777" w:rsidTr="004716DA">
        <w:tc>
          <w:tcPr>
            <w:tcW w:w="2337" w:type="dxa"/>
          </w:tcPr>
          <w:p w14:paraId="153985C4" w14:textId="67A355E3" w:rsidR="004716DA" w:rsidRDefault="004716DA" w:rsidP="00F3776F">
            <w:r>
              <w:t>Emergent Needs</w:t>
            </w:r>
          </w:p>
        </w:tc>
        <w:tc>
          <w:tcPr>
            <w:tcW w:w="2337" w:type="dxa"/>
          </w:tcPr>
          <w:p w14:paraId="5ACD79DB" w14:textId="70B8C819" w:rsidR="004716DA" w:rsidRDefault="004716DA" w:rsidP="00F3776F">
            <w:r>
              <w:t>Used to improve learning for a certain category of students</w:t>
            </w:r>
          </w:p>
        </w:tc>
        <w:tc>
          <w:tcPr>
            <w:tcW w:w="2338" w:type="dxa"/>
          </w:tcPr>
          <w:p w14:paraId="17C8B59B" w14:textId="197F8077" w:rsidR="004716DA" w:rsidRDefault="004716DA" w:rsidP="00F3776F">
            <w:r>
              <w:t>Not to exceed 5% of annual budget</w:t>
            </w:r>
          </w:p>
        </w:tc>
        <w:tc>
          <w:tcPr>
            <w:tcW w:w="2338" w:type="dxa"/>
          </w:tcPr>
          <w:p w14:paraId="09EBB622" w14:textId="6AEA7CE6" w:rsidR="004716DA" w:rsidRDefault="004716DA" w:rsidP="00F3776F">
            <w:r>
              <w:t>Cannot be targeted for use by a single identified student</w:t>
            </w:r>
          </w:p>
        </w:tc>
      </w:tr>
      <w:tr w:rsidR="004716DA" w14:paraId="3A38F903" w14:textId="77777777" w:rsidTr="004716DA">
        <w:tc>
          <w:tcPr>
            <w:tcW w:w="2337" w:type="dxa"/>
          </w:tcPr>
          <w:p w14:paraId="2BD6B6FA" w14:textId="22A8C1FD" w:rsidR="004716DA" w:rsidRDefault="004716DA" w:rsidP="00F3776F">
            <w:r>
              <w:t xml:space="preserve">Student Innovation </w:t>
            </w:r>
            <w:r w:rsidR="0082053B">
              <w:t>Projects</w:t>
            </w:r>
          </w:p>
        </w:tc>
        <w:tc>
          <w:tcPr>
            <w:tcW w:w="2337" w:type="dxa"/>
          </w:tcPr>
          <w:p w14:paraId="67366165" w14:textId="03403B3C" w:rsidR="004716DA" w:rsidRDefault="004716DA" w:rsidP="00F3776F">
            <w:r>
              <w:t>Small group projects by students, typically not a capstone project</w:t>
            </w:r>
          </w:p>
        </w:tc>
        <w:tc>
          <w:tcPr>
            <w:tcW w:w="2338" w:type="dxa"/>
          </w:tcPr>
          <w:p w14:paraId="2C4351F5" w14:textId="6F5EE54D" w:rsidR="004716DA" w:rsidRDefault="004716DA" w:rsidP="00F3776F">
            <w:r>
              <w:t xml:space="preserve">Not to exceed 5% of annual budget, single award not to exceed $2,000.  </w:t>
            </w:r>
          </w:p>
        </w:tc>
        <w:tc>
          <w:tcPr>
            <w:tcW w:w="2338" w:type="dxa"/>
          </w:tcPr>
          <w:p w14:paraId="2DABFDEB" w14:textId="3B225819" w:rsidR="004716DA" w:rsidRDefault="004716DA" w:rsidP="00F3776F">
            <w:r>
              <w:t xml:space="preserve">Requires project scope, deliverable, and faculty sponsor. </w:t>
            </w:r>
          </w:p>
        </w:tc>
      </w:tr>
      <w:tr w:rsidR="004716DA" w14:paraId="5C2B127E" w14:textId="77777777" w:rsidTr="004716DA">
        <w:tc>
          <w:tcPr>
            <w:tcW w:w="2337" w:type="dxa"/>
          </w:tcPr>
          <w:p w14:paraId="36B5BD5C" w14:textId="3DE34ABF" w:rsidR="004716DA" w:rsidRDefault="004716DA" w:rsidP="00F3776F">
            <w:r>
              <w:t>Faculty Instructional Project</w:t>
            </w:r>
          </w:p>
        </w:tc>
        <w:tc>
          <w:tcPr>
            <w:tcW w:w="2337" w:type="dxa"/>
          </w:tcPr>
          <w:p w14:paraId="752E4105" w14:textId="037C72B8" w:rsidR="004716DA" w:rsidRDefault="004716DA" w:rsidP="00F3776F">
            <w:r>
              <w:t xml:space="preserve">Faculty </w:t>
            </w:r>
            <w:r w:rsidR="0082053B">
              <w:t>Instructional</w:t>
            </w:r>
            <w:r>
              <w:t xml:space="preserve"> Projects</w:t>
            </w:r>
          </w:p>
        </w:tc>
        <w:tc>
          <w:tcPr>
            <w:tcW w:w="2338" w:type="dxa"/>
          </w:tcPr>
          <w:p w14:paraId="0A814B6A" w14:textId="7A732168" w:rsidR="004716DA" w:rsidRDefault="004716DA" w:rsidP="00F3776F">
            <w:r>
              <w:t>Total allocation not to exceed 35% of budget, single allo</w:t>
            </w:r>
            <w:r w:rsidR="009F20EA">
              <w:t xml:space="preserve">cation typically not more than 20% of the funds used for Faculty instructional </w:t>
            </w:r>
            <w:r w:rsidR="0082053B">
              <w:t>Projects</w:t>
            </w:r>
          </w:p>
        </w:tc>
        <w:tc>
          <w:tcPr>
            <w:tcW w:w="2338" w:type="dxa"/>
          </w:tcPr>
          <w:p w14:paraId="1D36D8E2" w14:textId="757E1E17" w:rsidR="004716DA" w:rsidRDefault="009F20EA" w:rsidP="00F3776F">
            <w:r>
              <w:t>Requires faculty principal investigator, funds cannot be recurring, successful projects will require support of department chair</w:t>
            </w:r>
          </w:p>
        </w:tc>
      </w:tr>
      <w:tr w:rsidR="004716DA" w14:paraId="0A5D9CE4" w14:textId="77777777" w:rsidTr="004716DA">
        <w:tc>
          <w:tcPr>
            <w:tcW w:w="2337" w:type="dxa"/>
          </w:tcPr>
          <w:p w14:paraId="7B71550B" w14:textId="7197C6E4" w:rsidR="004716DA" w:rsidRDefault="009F20EA" w:rsidP="00F3776F">
            <w:r>
              <w:t>Systemic Projects</w:t>
            </w:r>
          </w:p>
        </w:tc>
        <w:tc>
          <w:tcPr>
            <w:tcW w:w="2337" w:type="dxa"/>
          </w:tcPr>
          <w:p w14:paraId="45D88F11" w14:textId="4821D966" w:rsidR="004716DA" w:rsidRDefault="009F20EA" w:rsidP="00F3776F">
            <w:r>
              <w:t>Sponsored by an academic department or a university operational unit</w:t>
            </w:r>
          </w:p>
        </w:tc>
        <w:tc>
          <w:tcPr>
            <w:tcW w:w="2338" w:type="dxa"/>
          </w:tcPr>
          <w:p w14:paraId="1FF5539F" w14:textId="5D0E2F00" w:rsidR="004716DA" w:rsidRDefault="009F20EA" w:rsidP="00F3776F">
            <w:r>
              <w:t>Total allocation not to exceed 75% of available funds</w:t>
            </w:r>
          </w:p>
        </w:tc>
        <w:tc>
          <w:tcPr>
            <w:tcW w:w="2338" w:type="dxa"/>
          </w:tcPr>
          <w:p w14:paraId="2195C970" w14:textId="2B88339B" w:rsidR="004716DA" w:rsidRDefault="009F20EA" w:rsidP="00F3776F">
            <w:r>
              <w:t xml:space="preserve">Intended to be used for more significant improvements in infrastructure or learning environment.  Requires support of department leadership.  </w:t>
            </w:r>
          </w:p>
        </w:tc>
      </w:tr>
    </w:tbl>
    <w:p w14:paraId="53689A09" w14:textId="512925DB" w:rsidR="008D7E3C" w:rsidRDefault="008D7E3C" w:rsidP="00F3776F"/>
    <w:p w14:paraId="20754CB4" w14:textId="1A730B10" w:rsidR="00AF2D04" w:rsidRDefault="0030366C" w:rsidP="00F3776F">
      <w:r w:rsidRPr="0030366C">
        <w:rPr>
          <w:b/>
          <w:bCs/>
        </w:rPr>
        <w:t xml:space="preserve">Funds Available: </w:t>
      </w:r>
      <w:r w:rsidR="00F3776F" w:rsidRPr="0030366C">
        <w:rPr>
          <w:b/>
          <w:bCs/>
        </w:rPr>
        <w:t xml:space="preserve"> </w:t>
      </w:r>
      <w:r w:rsidR="00AC000D" w:rsidRPr="0030366C">
        <w:rPr>
          <w:b/>
          <w:bCs/>
        </w:rPr>
        <w:t xml:space="preserve"> </w:t>
      </w:r>
      <w:r w:rsidR="009F20EA">
        <w:rPr>
          <w:b/>
          <w:bCs/>
        </w:rPr>
        <w:t xml:space="preserve">Total available budget for spring 2024 is approximately $210,000.  The university may choose to not make awards that expense the entire </w:t>
      </w:r>
      <w:r w:rsidR="0082053B">
        <w:rPr>
          <w:b/>
          <w:bCs/>
        </w:rPr>
        <w:t>budget but</w:t>
      </w:r>
      <w:r w:rsidR="009F20EA">
        <w:rPr>
          <w:b/>
          <w:bCs/>
        </w:rPr>
        <w:t xml:space="preserve"> may instead wait for Fall 2025 to make awards.  </w:t>
      </w:r>
    </w:p>
    <w:p w14:paraId="3EE0BD7E" w14:textId="16DB000D" w:rsidR="00F73746" w:rsidRDefault="00470970" w:rsidP="0082053B">
      <w:r w:rsidRPr="00470970">
        <w:rPr>
          <w:b/>
          <w:bCs/>
        </w:rPr>
        <w:t xml:space="preserve">Program </w:t>
      </w:r>
      <w:r w:rsidR="008D7E3C">
        <w:rPr>
          <w:b/>
          <w:bCs/>
        </w:rPr>
        <w:t>Outcome</w:t>
      </w:r>
      <w:r w:rsidRPr="00470970">
        <w:rPr>
          <w:b/>
          <w:bCs/>
        </w:rPr>
        <w:t xml:space="preserve">: </w:t>
      </w:r>
      <w:r>
        <w:rPr>
          <w:b/>
          <w:bCs/>
        </w:rPr>
        <w:t xml:space="preserve"> </w:t>
      </w:r>
      <w:r w:rsidR="0009088C">
        <w:t xml:space="preserve">The proposed </w:t>
      </w:r>
      <w:r w:rsidR="008A207A">
        <w:t>funding must</w:t>
      </w:r>
      <w:r w:rsidR="0009088C">
        <w:t xml:space="preserve"> </w:t>
      </w:r>
      <w:r w:rsidR="0082053B">
        <w:t>i</w:t>
      </w:r>
      <w:r w:rsidR="009F20EA">
        <w:t xml:space="preserve">n some way </w:t>
      </w:r>
      <w:r w:rsidR="00CA590C">
        <w:t>enhance</w:t>
      </w:r>
      <w:r w:rsidR="009F20EA">
        <w:t xml:space="preserve"> instructional resources for students and/or faculty.  </w:t>
      </w:r>
    </w:p>
    <w:p w14:paraId="37996B5F" w14:textId="11E97916" w:rsidR="00AC000D" w:rsidRDefault="00F73746" w:rsidP="00F3776F">
      <w:r w:rsidRPr="00F73746">
        <w:rPr>
          <w:b/>
          <w:bCs/>
        </w:rPr>
        <w:t>Program requirements:</w:t>
      </w:r>
      <w:r w:rsidRPr="00F73746">
        <w:t xml:space="preserve"> </w:t>
      </w:r>
      <w:r w:rsidR="00470970" w:rsidRPr="00F73746">
        <w:t xml:space="preserve"> </w:t>
      </w:r>
      <w:r>
        <w:t xml:space="preserve"> </w:t>
      </w:r>
    </w:p>
    <w:p w14:paraId="63FC57F2" w14:textId="2DFC54B0" w:rsidR="00AC000D" w:rsidRDefault="00D2359C" w:rsidP="00F3776F">
      <w:r>
        <w:t>The proposal must</w:t>
      </w:r>
      <w:r w:rsidR="00DC11BE">
        <w:t xml:space="preserve"> clearly </w:t>
      </w:r>
      <w:r>
        <w:t>indicate</w:t>
      </w:r>
      <w:r w:rsidR="00DC11BE">
        <w:t xml:space="preserve"> </w:t>
      </w:r>
      <w:r w:rsidR="00672477">
        <w:t xml:space="preserve">what is to be acquired </w:t>
      </w:r>
      <w:r w:rsidR="00DC11BE">
        <w:t xml:space="preserve">and how the </w:t>
      </w:r>
      <w:r w:rsidR="00D62372">
        <w:t>acquisition</w:t>
      </w:r>
      <w:r>
        <w:t xml:space="preserve"> will </w:t>
      </w:r>
      <w:r w:rsidR="00DC11BE">
        <w:t xml:space="preserve">support future </w:t>
      </w:r>
      <w:r w:rsidR="00D62372">
        <w:t xml:space="preserve">enhancement in laboratory teaching.  </w:t>
      </w:r>
    </w:p>
    <w:p w14:paraId="7BF52870" w14:textId="77777777" w:rsidR="00CA590C" w:rsidRDefault="00F73746" w:rsidP="00CA590C">
      <w:r w:rsidRPr="00F73746">
        <w:rPr>
          <w:b/>
          <w:bCs/>
        </w:rPr>
        <w:t>Proposal Requirements:</w:t>
      </w:r>
      <w:r>
        <w:rPr>
          <w:b/>
          <w:bCs/>
        </w:rPr>
        <w:t xml:space="preserve"> </w:t>
      </w:r>
    </w:p>
    <w:p w14:paraId="0BC64F5C" w14:textId="5EF51D59" w:rsidR="00CA590C" w:rsidRPr="007E3369" w:rsidRDefault="00CA590C" w:rsidP="00CA590C">
      <w:pPr>
        <w:rPr>
          <w:rFonts w:cstheme="minorHAnsi"/>
        </w:rPr>
      </w:pPr>
      <w:r>
        <w:t xml:space="preserve">Proposals must adhere to the template provided, by project type, by </w:t>
      </w:r>
      <w:r w:rsidR="0082053B">
        <w:t xml:space="preserve">the </w:t>
      </w:r>
      <w:r>
        <w:t xml:space="preserve">Office or research services.  Proposal templates may be found </w:t>
      </w:r>
      <w:r w:rsidR="007E3369">
        <w:t xml:space="preserve">on the </w:t>
      </w:r>
      <w:hyperlink r:id="rId5" w:history="1">
        <w:r w:rsidR="007E3369">
          <w:rPr>
            <w:rStyle w:val="Hyperlink"/>
            <w:rFonts w:ascii="Arial" w:hAnsi="Arial" w:cs="Arial"/>
            <w:color w:val="532D8E"/>
            <w:spacing w:val="5"/>
          </w:rPr>
          <w:t>website</w:t>
        </w:r>
      </w:hyperlink>
      <w:r w:rsidR="007E3369">
        <w:rPr>
          <w:rFonts w:ascii="Arial" w:hAnsi="Arial" w:cs="Arial"/>
          <w:color w:val="333333"/>
          <w:spacing w:val="5"/>
        </w:rPr>
        <w:t xml:space="preserve"> </w:t>
      </w:r>
      <w:r w:rsidR="007E3369" w:rsidRPr="007E3369">
        <w:rPr>
          <w:rFonts w:cstheme="minorHAnsi"/>
          <w:color w:val="333333"/>
          <w:spacing w:val="5"/>
        </w:rPr>
        <w:t xml:space="preserve">(note the website will not be fully up to date until </w:t>
      </w:r>
      <w:r w:rsidR="007E3369" w:rsidRPr="007E3369">
        <w:rPr>
          <w:rFonts w:cstheme="minorHAnsi"/>
          <w:color w:val="333333"/>
          <w:spacing w:val="5"/>
        </w:rPr>
        <w:lastRenderedPageBreak/>
        <w:t>approximately Wednesday, February 28, 2024</w:t>
      </w:r>
      <w:r w:rsidRPr="007E3369">
        <w:rPr>
          <w:rFonts w:cstheme="minorHAnsi"/>
        </w:rPr>
        <w:t xml:space="preserve">.  </w:t>
      </w:r>
      <w:r w:rsidR="0082053B" w:rsidRPr="007E3369">
        <w:rPr>
          <w:rFonts w:cstheme="minorHAnsi"/>
        </w:rPr>
        <w:t>Further background on the funding may be found in the Tech Fee Committee Charter</w:t>
      </w:r>
    </w:p>
    <w:p w14:paraId="291FDCA2" w14:textId="40E82BE2" w:rsidR="00AE07D5" w:rsidRDefault="00AE07D5" w:rsidP="00F3776F">
      <w:r>
        <w:t xml:space="preserve">Evaluation will be by </w:t>
      </w:r>
      <w:r w:rsidR="00894100">
        <w:t>the tech fee committee</w:t>
      </w:r>
      <w:r>
        <w:t xml:space="preserve">, with emphasis on both impact to the university and likelihood of success.  </w:t>
      </w:r>
    </w:p>
    <w:p w14:paraId="5363362D" w14:textId="68C59F66" w:rsidR="00F73746" w:rsidRDefault="00F73746" w:rsidP="00F3776F">
      <w:r>
        <w:t xml:space="preserve">Due date: </w:t>
      </w:r>
      <w:r w:rsidR="00C34E7C">
        <w:t xml:space="preserve">March </w:t>
      </w:r>
      <w:r w:rsidR="00CA590C">
        <w:t>22</w:t>
      </w:r>
      <w:r w:rsidR="00C34E7C">
        <w:t xml:space="preserve">, </w:t>
      </w:r>
      <w:r w:rsidR="00AE07D5">
        <w:t>2024</w:t>
      </w:r>
      <w:r w:rsidR="00C34E7C">
        <w:t xml:space="preserve">, notification of awards to be made approximately </w:t>
      </w:r>
      <w:r w:rsidR="00327D03">
        <w:t>April 5, 2024</w:t>
      </w:r>
      <w:r w:rsidR="00C34E7C">
        <w:t xml:space="preserve">.  </w:t>
      </w:r>
      <w:r w:rsidR="003D36CB">
        <w:t>Send proposals to Nicole Tardif</w:t>
      </w:r>
      <w:r w:rsidR="000D19BE">
        <w:t xml:space="preserve">f at </w:t>
      </w:r>
      <w:hyperlink r:id="rId6" w:history="1">
        <w:r w:rsidR="000D19BE" w:rsidRPr="00B72E5F">
          <w:rPr>
            <w:rStyle w:val="Hyperlink"/>
          </w:rPr>
          <w:t>techfeeproposals@floridapoly.edu</w:t>
        </w:r>
      </w:hyperlink>
      <w:r w:rsidR="000D19BE">
        <w:t xml:space="preserve">. </w:t>
      </w:r>
      <w:r w:rsidR="003D36CB">
        <w:t xml:space="preserve">  </w:t>
      </w:r>
    </w:p>
    <w:p w14:paraId="69B7C6B2" w14:textId="77777777" w:rsidR="00AC000D" w:rsidRPr="00F3776F" w:rsidRDefault="00AC000D" w:rsidP="00F3776F"/>
    <w:sectPr w:rsidR="00AC000D" w:rsidRPr="00F37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3526"/>
    <w:multiLevelType w:val="hybridMultilevel"/>
    <w:tmpl w:val="3BF20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A2338"/>
    <w:multiLevelType w:val="hybridMultilevel"/>
    <w:tmpl w:val="938A88D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4D57CD0"/>
    <w:multiLevelType w:val="hybridMultilevel"/>
    <w:tmpl w:val="D8D04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B5821"/>
    <w:multiLevelType w:val="hybridMultilevel"/>
    <w:tmpl w:val="6B26F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803F3"/>
    <w:multiLevelType w:val="hybridMultilevel"/>
    <w:tmpl w:val="F168E272"/>
    <w:lvl w:ilvl="0" w:tplc="D35C0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78968">
    <w:abstractNumId w:val="2"/>
  </w:num>
  <w:num w:numId="2" w16cid:durableId="1036390494">
    <w:abstractNumId w:val="4"/>
  </w:num>
  <w:num w:numId="3" w16cid:durableId="180053935">
    <w:abstractNumId w:val="0"/>
  </w:num>
  <w:num w:numId="4" w16cid:durableId="76565150">
    <w:abstractNumId w:val="3"/>
  </w:num>
  <w:num w:numId="5" w16cid:durableId="561522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0D"/>
    <w:rsid w:val="0009088C"/>
    <w:rsid w:val="000D19BE"/>
    <w:rsid w:val="00102223"/>
    <w:rsid w:val="00254FC2"/>
    <w:rsid w:val="0030366C"/>
    <w:rsid w:val="00327D03"/>
    <w:rsid w:val="003D36CB"/>
    <w:rsid w:val="00470970"/>
    <w:rsid w:val="004716DA"/>
    <w:rsid w:val="005227BE"/>
    <w:rsid w:val="00616B2B"/>
    <w:rsid w:val="00672477"/>
    <w:rsid w:val="006A5698"/>
    <w:rsid w:val="00790A87"/>
    <w:rsid w:val="007917C8"/>
    <w:rsid w:val="007E3369"/>
    <w:rsid w:val="0082053B"/>
    <w:rsid w:val="00894100"/>
    <w:rsid w:val="008A207A"/>
    <w:rsid w:val="008D7E3C"/>
    <w:rsid w:val="00993D5C"/>
    <w:rsid w:val="009C4060"/>
    <w:rsid w:val="009C572F"/>
    <w:rsid w:val="009F20EA"/>
    <w:rsid w:val="00A17D2D"/>
    <w:rsid w:val="00A97183"/>
    <w:rsid w:val="00AC000D"/>
    <w:rsid w:val="00AE07D5"/>
    <w:rsid w:val="00AF2D04"/>
    <w:rsid w:val="00C34E7C"/>
    <w:rsid w:val="00C82AC0"/>
    <w:rsid w:val="00CA590C"/>
    <w:rsid w:val="00D2359C"/>
    <w:rsid w:val="00D62372"/>
    <w:rsid w:val="00DC11BE"/>
    <w:rsid w:val="00E00823"/>
    <w:rsid w:val="00E224FF"/>
    <w:rsid w:val="00F3776F"/>
    <w:rsid w:val="00F73746"/>
    <w:rsid w:val="00F8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1627F"/>
  <w15:chartTrackingRefBased/>
  <w15:docId w15:val="{7AA45679-0447-4E40-B832-34BA3A24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00D"/>
    <w:pPr>
      <w:ind w:left="720"/>
      <w:contextualSpacing/>
    </w:pPr>
  </w:style>
  <w:style w:type="paragraph" w:styleId="Revision">
    <w:name w:val="Revision"/>
    <w:hidden/>
    <w:uiPriority w:val="99"/>
    <w:semiHidden/>
    <w:rsid w:val="00DC11B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C11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11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11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1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1BE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71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336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336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chfeeproposals@floridapoly.edu" TargetMode="External"/><Relationship Id="rId5" Type="http://schemas.openxmlformats.org/officeDocument/2006/relationships/hyperlink" Target="https://floridapoly.edu/vp-of-academic-affairs/resource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Parker</dc:creator>
  <cp:keywords/>
  <dc:description/>
  <cp:lastModifiedBy>Nicole Tardiff</cp:lastModifiedBy>
  <cp:revision>2</cp:revision>
  <dcterms:created xsi:type="dcterms:W3CDTF">2024-02-27T13:17:00Z</dcterms:created>
  <dcterms:modified xsi:type="dcterms:W3CDTF">2024-02-27T13:17:00Z</dcterms:modified>
</cp:coreProperties>
</file>